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FDE" w14:textId="4C5D0539" w:rsidR="008F585F" w:rsidRPr="00270B2D" w:rsidRDefault="008F585F" w:rsidP="008F585F">
      <w:pPr>
        <w:tabs>
          <w:tab w:val="left" w:pos="1701"/>
        </w:tabs>
        <w:rPr>
          <w:rStyle w:val="headergroot1"/>
          <w:rFonts w:ascii="Arial" w:eastAsiaTheme="minorHAnsi" w:hAnsi="Arial" w:cs="Arial"/>
          <w:b w:val="0"/>
          <w:bCs w:val="0"/>
          <w:color w:val="7F7F7F" w:themeColor="text1" w:themeTint="80"/>
          <w:sz w:val="22"/>
          <w:szCs w:val="22"/>
          <w:u w:val="single"/>
          <w:lang w:val="nl-NL"/>
        </w:rPr>
      </w:pPr>
      <w:hyperlink r:id="rId9" w:history="1">
        <w:r w:rsidRPr="00270B2D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>Systeemomschrijving GT 70XS voor ramen</w:t>
        </w:r>
      </w:hyperlink>
    </w:p>
    <w:p w14:paraId="5F6C6FE8" w14:textId="0BE87128" w:rsidR="008F585F" w:rsidRPr="008F585F" w:rsidRDefault="008F585F" w:rsidP="008F585F">
      <w:pPr>
        <w:tabs>
          <w:tab w:val="left" w:pos="1701"/>
        </w:tabs>
        <w:spacing w:line="22" w:lineRule="atLeast"/>
        <w:rPr>
          <w:rFonts w:ascii="Arial" w:hAnsi="Arial" w:cs="Arial"/>
          <w:color w:val="7F7F7F" w:themeColor="text1" w:themeTint="80"/>
          <w:sz w:val="18"/>
          <w:szCs w:val="18"/>
          <w:lang w:val="nl-NL"/>
        </w:rPr>
      </w:pPr>
      <w:r w:rsidRPr="008F585F">
        <w:rPr>
          <w:rFonts w:ascii="Arial" w:hAnsi="Arial" w:cs="Arial"/>
          <w:color w:val="404040" w:themeColor="text1" w:themeTint="BF"/>
          <w:u w:val="single"/>
          <w:lang w:val="nl-NL"/>
        </w:rPr>
        <w:br/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 xml:space="preserve">Algemeen: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</w:r>
      <w:r w:rsidR="00672869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>e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>xtra slank</w:t>
      </w:r>
      <w:r w:rsidR="000737AA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>/slim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 xml:space="preserve">, thermisch geïsoleerd aluminium profielsysteem voor ramen inclusief </w:t>
      </w:r>
    </w:p>
    <w:p w14:paraId="6AD424F9" w14:textId="5E0DF983" w:rsidR="008F585F" w:rsidRPr="008F585F" w:rsidRDefault="008F585F" w:rsidP="008F585F">
      <w:pPr>
        <w:tabs>
          <w:tab w:val="left" w:pos="1701"/>
        </w:tabs>
        <w:spacing w:line="22" w:lineRule="atLeast"/>
        <w:rPr>
          <w:rFonts w:ascii="Arial" w:hAnsi="Arial" w:cs="Arial"/>
          <w:sz w:val="18"/>
          <w:szCs w:val="18"/>
          <w:lang w:val="nl-NL"/>
        </w:rPr>
      </w:pP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Kawneer systeemgarantie</w:t>
      </w:r>
      <w:r w:rsidRPr="008F585F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br/>
        <w:t xml:space="preserve">Materiaal: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aluminium extrusie profiel, thermisch geïsoleerd</w:t>
      </w:r>
    </w:p>
    <w:p w14:paraId="5CC84623" w14:textId="77777777" w:rsidR="00DF6911" w:rsidRDefault="008F585F" w:rsidP="00DF6911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 xml:space="preserve">Legering: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</w:r>
      <w:r w:rsidR="00DF6911">
        <w:rPr>
          <w:rFonts w:ascii="Arial" w:eastAsia="Calibri" w:hAnsi="Arial" w:cs="Arial"/>
          <w:color w:val="7F7F7F"/>
          <w:sz w:val="18"/>
          <w:szCs w:val="18"/>
          <w:lang w:val="nl-NL"/>
        </w:rPr>
        <w:t>EN AW-6060 T66 volgens EN 573 en EN 755</w:t>
      </w:r>
    </w:p>
    <w:p w14:paraId="4FE8B012" w14:textId="77777777" w:rsidR="00215E93" w:rsidRDefault="008F585F" w:rsidP="00215E9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 xml:space="preserve">Opbouw: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symmetrisch 3-kamersysteem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br/>
      </w:r>
      <w:r w:rsidR="00215E9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Kozijndiepte: </w:t>
      </w:r>
      <w:r w:rsidR="00215E9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62 mm, 72 mm, of 82 mm </w:t>
      </w:r>
    </w:p>
    <w:p w14:paraId="2CB78286" w14:textId="52645E2A" w:rsidR="00215E93" w:rsidRDefault="00215E93" w:rsidP="00215E9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70 mm, 80 mm of 90 mm</w:t>
      </w:r>
    </w:p>
    <w:p w14:paraId="78F3EC04" w14:textId="4BE4E6A3" w:rsidR="008F585F" w:rsidRPr="008F585F" w:rsidRDefault="008F585F" w:rsidP="008F585F">
      <w:pPr>
        <w:tabs>
          <w:tab w:val="left" w:pos="1701"/>
        </w:tabs>
        <w:spacing w:line="22" w:lineRule="atLeast"/>
        <w:rPr>
          <w:rFonts w:ascii="Arial" w:hAnsi="Arial" w:cs="Arial"/>
          <w:color w:val="7F7F7F" w:themeColor="text1" w:themeTint="80"/>
          <w:sz w:val="18"/>
          <w:szCs w:val="18"/>
          <w:lang w:val="nl-NL"/>
        </w:rPr>
      </w:pP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>Aanzichtbreedte: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48 mm</w:t>
      </w:r>
    </w:p>
    <w:p w14:paraId="40B23C8E" w14:textId="1B18EDC7" w:rsidR="008F585F" w:rsidRPr="008F585F" w:rsidRDefault="008F585F" w:rsidP="008F585F">
      <w:pPr>
        <w:tabs>
          <w:tab w:val="left" w:pos="1701"/>
        </w:tabs>
        <w:spacing w:line="22" w:lineRule="atLeast"/>
        <w:rPr>
          <w:rFonts w:ascii="Arial" w:hAnsi="Arial" w:cs="Arial"/>
          <w:color w:val="7F7F7F" w:themeColor="text1" w:themeTint="80"/>
          <w:sz w:val="18"/>
          <w:szCs w:val="18"/>
          <w:lang w:val="nl-NL"/>
        </w:rPr>
      </w:pPr>
      <w:r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>Profielvorm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>:</w:t>
      </w:r>
      <w:r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>Steellook, Vlak, Verdiept</w:t>
      </w:r>
    </w:p>
    <w:p w14:paraId="10C9EB08" w14:textId="77777777" w:rsidR="008F585F" w:rsidRPr="008F585F" w:rsidRDefault="008F585F" w:rsidP="008F585F">
      <w:pPr>
        <w:tabs>
          <w:tab w:val="left" w:pos="1701"/>
        </w:tabs>
        <w:spacing w:line="22" w:lineRule="atLeast"/>
        <w:rPr>
          <w:rFonts w:ascii="Arial" w:hAnsi="Arial" w:cs="Arial"/>
          <w:color w:val="7F7F7F" w:themeColor="text1" w:themeTint="80"/>
          <w:sz w:val="18"/>
          <w:szCs w:val="18"/>
          <w:lang w:val="nl-NL"/>
        </w:rPr>
      </w:pP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 xml:space="preserve">Profielradius: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0,5 mm</w:t>
      </w:r>
    </w:p>
    <w:p w14:paraId="2D4A4469" w14:textId="05F9E9A0" w:rsidR="008F585F" w:rsidRPr="008F585F" w:rsidRDefault="008F585F" w:rsidP="008F585F">
      <w:pPr>
        <w:tabs>
          <w:tab w:val="left" w:pos="1701"/>
        </w:tabs>
        <w:spacing w:line="22" w:lineRule="atLeast"/>
        <w:rPr>
          <w:rFonts w:ascii="Arial" w:hAnsi="Arial" w:cs="Arial"/>
          <w:color w:val="7F7F7F" w:themeColor="text1" w:themeTint="80"/>
          <w:sz w:val="18"/>
          <w:szCs w:val="18"/>
          <w:lang w:val="nl-NL"/>
        </w:rPr>
      </w:pP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 xml:space="preserve">Profieltoleranties: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volgens NEN-EN 12020-2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br/>
        <w:t xml:space="preserve">Glasdikte: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>kozijn 5</w:t>
      </w:r>
      <w:r w:rsidR="008E6E34">
        <w:rPr>
          <w:rFonts w:ascii="Arial" w:eastAsia="Calibri" w:hAnsi="Arial" w:cs="Arial"/>
          <w:color w:val="7F7F7F"/>
          <w:sz w:val="18"/>
          <w:szCs w:val="18"/>
          <w:lang w:val="nl-NL"/>
        </w:rPr>
        <w:t>6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64 mm</w:t>
      </w:r>
    </w:p>
    <w:p w14:paraId="152F33F5" w14:textId="2B19EC5D" w:rsidR="008F585F" w:rsidRPr="008F585F" w:rsidRDefault="008F585F" w:rsidP="008F585F">
      <w:pPr>
        <w:tabs>
          <w:tab w:val="left" w:pos="1701"/>
        </w:tabs>
        <w:spacing w:line="22" w:lineRule="atLeast"/>
        <w:rPr>
          <w:rFonts w:ascii="Arial" w:hAnsi="Arial" w:cs="Arial"/>
          <w:color w:val="7F7F7F" w:themeColor="text1" w:themeTint="80"/>
          <w:sz w:val="18"/>
          <w:szCs w:val="18"/>
          <w:lang w:val="nl-NL"/>
        </w:rPr>
      </w:pPr>
    </w:p>
    <w:p w14:paraId="56337C7A" w14:textId="77777777" w:rsidR="006063AD" w:rsidRPr="006063AD" w:rsidRDefault="006063AD" w:rsidP="006063A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6063AD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3486AD23" w14:textId="3AC09BC2" w:rsidR="000A0D4E" w:rsidRDefault="000A0D4E" w:rsidP="000A0D4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Categorie 1 verklaring volgens EN-15804. Deze wordt weergegeven in een zeer gunstige MKI-score (Milieu Kosten Impact) binnen de branche. </w:t>
      </w:r>
      <w:r w:rsidR="000737AA">
        <w:rPr>
          <w:rFonts w:ascii="Arial" w:eastAsia="Calibri" w:hAnsi="Arial" w:cs="Arial"/>
          <w:color w:val="7F7F7F"/>
          <w:sz w:val="18"/>
          <w:szCs w:val="18"/>
          <w:lang w:val="nl-NL"/>
        </w:rPr>
        <w:t>Via brancheorganisatie VMRG wordt een bijdrage geleverd  middels PerpetuAL</w:t>
      </w:r>
      <w:r w:rsidR="000737AA">
        <w:rPr>
          <w:rFonts w:ascii="Times New Roman" w:eastAsiaTheme="minorHAnsi" w:hAnsi="Times New Roman" w:cs="Times New Roman"/>
          <w:sz w:val="24"/>
          <w:szCs w:val="24"/>
          <w:lang w:val="nl-NL" w:eastAsia="nl-NL"/>
        </w:rPr>
        <w:t xml:space="preserve"> </w:t>
      </w:r>
      <w:r w:rsidR="000737AA">
        <w:rPr>
          <w:rFonts w:ascii="Arial" w:eastAsia="Calibri" w:hAnsi="Arial" w:cs="Arial"/>
          <w:color w:val="7F7F7F"/>
          <w:sz w:val="18"/>
          <w:szCs w:val="18"/>
          <w:lang w:val="nl-NL"/>
        </w:rPr>
        <w:t>en AluEco.</w:t>
      </w:r>
    </w:p>
    <w:p w14:paraId="2DACDA54" w14:textId="77777777" w:rsidR="000A0D4E" w:rsidRDefault="000A0D4E" w:rsidP="000A0D4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en-US"/>
        </w:rPr>
        <w:t>Certificaten: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>Cradle2Cradle, LCA, ISO 14001, ISO 9001, Kawneer systeemgarantie</w:t>
      </w:r>
    </w:p>
    <w:p w14:paraId="5B408E59" w14:textId="77777777" w:rsidR="000A0D4E" w:rsidRDefault="000A0D4E" w:rsidP="000A0D4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Proof, gebruik maken van gerecycled </w:t>
      </w:r>
    </w:p>
    <w:p w14:paraId="56A1D142" w14:textId="77777777" w:rsidR="000A0D4E" w:rsidRDefault="000A0D4E" w:rsidP="000A0D4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aluminium (AR 90 / AR 100) middels CARE. </w:t>
      </w:r>
    </w:p>
    <w:p w14:paraId="419F4F3B" w14:textId="77777777" w:rsidR="000A0D4E" w:rsidRPr="000737AA" w:rsidRDefault="000A0D4E" w:rsidP="00215E93">
      <w:pPr>
        <w:widowControl/>
        <w:tabs>
          <w:tab w:val="left" w:pos="1701"/>
        </w:tabs>
        <w:autoSpaceDE/>
        <w:spacing w:line="25" w:lineRule="atLeast"/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n-US"/>
        </w:rPr>
      </w:pPr>
    </w:p>
    <w:p w14:paraId="290D5722" w14:textId="388AD878" w:rsidR="00215E93" w:rsidRDefault="008F585F" w:rsidP="00215E93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  <w:r w:rsidRPr="00270B2D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nl-NL"/>
        </w:rPr>
        <w:t>Systeem mogelijkheden</w:t>
      </w:r>
      <w:r w:rsidRPr="008F585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nl-NL"/>
        </w:rPr>
        <w:br/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 xml:space="preserve">Waterafvoer: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gepatenteerde verborgen waterafvoer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br/>
        <w:t xml:space="preserve">Beglazing: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 xml:space="preserve">binnen beglazing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br/>
        <w:t xml:space="preserve">Accessoires: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systeemgebonden accessoires volgens voorschrift Kawneer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br/>
        <w:t xml:space="preserve">Dichtingen: 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systeemgebonden flexibel EPDM rondom doorlopend en/of gevulkaniseerde frames of hoeken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br/>
        <w:t>Productcombinaties: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tab/>
        <w:t>RT 72 Reflex,  RT 72 HI+, RT 82HI+</w:t>
      </w:r>
      <w:r w:rsidRPr="008F585F">
        <w:rPr>
          <w:rFonts w:ascii="Arial" w:hAnsi="Arial" w:cs="Arial"/>
          <w:color w:val="7F7F7F" w:themeColor="text1" w:themeTint="80"/>
          <w:sz w:val="18"/>
          <w:szCs w:val="18"/>
          <w:lang w:val="nl-NL"/>
        </w:rPr>
        <w:br/>
      </w:r>
    </w:p>
    <w:p w14:paraId="15CC7E69" w14:textId="77777777" w:rsidR="00215E93" w:rsidRDefault="00215E93" w:rsidP="00215E93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</w:p>
    <w:p w14:paraId="27A58253" w14:textId="4562AF02" w:rsidR="00215E93" w:rsidRPr="00270B2D" w:rsidRDefault="00215E93" w:rsidP="00215E93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270B2D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Modelkenmerken draaiende delen </w:t>
      </w:r>
    </w:p>
    <w:p w14:paraId="1385626D" w14:textId="11BCE297" w:rsidR="00215E93" w:rsidRDefault="00215E93" w:rsidP="00215E93">
      <w:pPr>
        <w:widowControl/>
        <w:tabs>
          <w:tab w:val="left" w:pos="1701"/>
        </w:tabs>
        <w:autoSpaceDE/>
        <w:spacing w:line="25" w:lineRule="atLeast"/>
        <w:ind w:left="1701" w:hanging="1701"/>
        <w:rPr>
          <w:rFonts w:ascii="Arial" w:eastAsia="Calibri" w:hAnsi="Arial" w:cs="Arial"/>
          <w:color w:val="404040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Ramen: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rechte vleugels of softline vleugels </w:t>
      </w:r>
    </w:p>
    <w:p w14:paraId="4EE9003D" w14:textId="5E76A8A3" w:rsidR="008F585F" w:rsidRPr="008F585F" w:rsidRDefault="00215E93" w:rsidP="003327CD">
      <w:pPr>
        <w:widowControl/>
        <w:tabs>
          <w:tab w:val="left" w:pos="1701"/>
        </w:tabs>
        <w:autoSpaceDE/>
        <w:spacing w:line="22" w:lineRule="atLeast"/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middels overige systemen Kawneer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60C48A91" w14:textId="4952C050" w:rsidR="008F585F" w:rsidRDefault="008F585F" w:rsidP="008F585F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70B2D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Hang- en sluitwerk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Systeemgebonden beslag volgens specificatie Kawneer, overeenkomstig testrapporten en CE-markering</w:t>
      </w:r>
    </w:p>
    <w:p w14:paraId="6F04D947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Inbouw: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28107B9F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Handgreep ramen: 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A-Line, K-Vesta </w:t>
      </w:r>
    </w:p>
    <w:p w14:paraId="1B633BEF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7B2F9B75" w14:textId="55D9EBD0" w:rsidR="008F585F" w:rsidRDefault="008F585F" w:rsidP="00215E9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Handgreep deuren: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15E93">
        <w:rPr>
          <w:rFonts w:ascii="Arial" w:eastAsia="Calibri" w:hAnsi="Arial" w:cs="Arial"/>
          <w:color w:val="7F7F7F"/>
          <w:sz w:val="18"/>
          <w:szCs w:val="18"/>
          <w:lang w:val="nl-NL"/>
        </w:rPr>
        <w:t>middels overige systemen Kawneer</w:t>
      </w:r>
    </w:p>
    <w:p w14:paraId="6C6BC233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Raamscharnieren: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scharnieren</w:t>
      </w:r>
    </w:p>
    <w:p w14:paraId="7D06118A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p w14:paraId="0200FEC9" w14:textId="77777777" w:rsidR="008F585F" w:rsidRPr="008F585F" w:rsidRDefault="008F585F" w:rsidP="008F585F">
      <w:pPr>
        <w:tabs>
          <w:tab w:val="left" w:pos="1701"/>
        </w:tabs>
        <w:spacing w:line="22" w:lineRule="atLeast"/>
        <w:rPr>
          <w:rFonts w:ascii="Arial" w:hAnsi="Arial" w:cs="Arial"/>
          <w:b/>
          <w:color w:val="7F7F7F" w:themeColor="text1" w:themeTint="80"/>
          <w:sz w:val="18"/>
          <w:szCs w:val="18"/>
          <w:lang w:val="nl-NL"/>
        </w:rPr>
      </w:pPr>
    </w:p>
    <w:p w14:paraId="5B22BFE2" w14:textId="77777777" w:rsidR="008F585F" w:rsidRPr="00270B2D" w:rsidRDefault="008F585F" w:rsidP="008F585F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bookmarkStart w:id="0" w:name="_Hlk37264593"/>
      <w:r w:rsidRPr="00270B2D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>Prestatie omschrijving</w:t>
      </w:r>
    </w:p>
    <w:p w14:paraId="5F283829" w14:textId="77777777" w:rsidR="008F585F" w:rsidRDefault="008F585F" w:rsidP="008F585F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isolator met gepatenteerde Reflex technologie</w:t>
      </w:r>
    </w:p>
    <w:p w14:paraId="24FF6ECA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1" w:name="_Hlk38363424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Luchtdoorlatendheid: maximaal klasse 4 volgens EN 12207 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1"/>
    <w:p w14:paraId="7649F274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Inbraakwerendheid: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WK2, WK3</w:t>
      </w:r>
    </w:p>
    <w:p w14:paraId="0DE73964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0,94 W/m²K (Ug = 0,6 W/m²K en psi = 0,040)</w:t>
      </w:r>
    </w:p>
    <w:p w14:paraId="7A915E82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NTA 8800 en EN-ISO 10077-2 standaard gevelopening van 1230 x 1480 mm</w:t>
      </w:r>
    </w:p>
    <w:p w14:paraId="35E38F5F" w14:textId="77777777" w:rsidR="008F585F" w:rsidRDefault="008F585F" w:rsidP="008F585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2" w:name="_Hlk195692134"/>
    <w:p w14:paraId="210A3315" w14:textId="0C141D99" w:rsidR="003327CD" w:rsidRPr="008D0475" w:rsidRDefault="008F585F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>
        <w:fldChar w:fldCharType="begin"/>
      </w:r>
      <w:r w:rsidRPr="008F585F">
        <w:rPr>
          <w:lang w:val="nl-NL"/>
        </w:rPr>
        <w:instrText>HYPERLINK "https://www.kawneer.nl/functionaliteit/brandwerendheid"</w:instrText>
      </w:r>
      <w:r>
        <w:fldChar w:fldCharType="separate"/>
      </w:r>
      <w:r>
        <w:rPr>
          <w:rStyle w:val="Hyperlink"/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t>Brandwerendheid:</w:t>
      </w:r>
      <w:r>
        <w:fldChar w:fldCharType="end"/>
      </w:r>
      <w:r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EW 60 (specificatie op aanvraag), middels RT 72 HI+ FR </w:t>
      </w:r>
      <w:bookmarkEnd w:id="0"/>
      <w:bookmarkEnd w:id="2"/>
    </w:p>
    <w:p w14:paraId="746CBF6C" w14:textId="77777777" w:rsidR="00F27AEB" w:rsidRPr="008D0475" w:rsidRDefault="00F27AEB" w:rsidP="00DD0473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3848938E" w14:textId="77777777" w:rsidR="008D0475" w:rsidRPr="006063AD" w:rsidRDefault="008D0475" w:rsidP="008D0475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7B10C213" w14:textId="77777777" w:rsidR="008D0475" w:rsidRPr="006063AD" w:rsidRDefault="008D0475" w:rsidP="008D0475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0799027D" w14:textId="77777777" w:rsidR="008D0475" w:rsidRPr="006063AD" w:rsidRDefault="008D0475" w:rsidP="008D0475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69C9C853" w14:textId="14013A33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1" w:history="1">
        <w:r w:rsidRPr="008D0475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8D047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7D16F8F5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Qualicoat </w:t>
      </w:r>
      <w:r w:rsidRPr="008D0475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7559D9EB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130A0396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023844AC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3" w:name="_Hlk38373651"/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>(inclusief Seaside en extra conversielaag)</w:t>
      </w:r>
      <w:bookmarkEnd w:id="3"/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43AF3048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32DC2409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25F2AA3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Qualanod </w:t>
      </w:r>
      <w:r w:rsidRPr="008D0475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57F37FFD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8D0475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3381DF68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18647219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6079F056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4106097B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1FA67F4A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4" w:name="OLE_LINK3"/>
      <w:r w:rsidRPr="008D0475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4"/>
    <w:p w14:paraId="516DF7EC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02CD01DD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DCD28B2" w14:textId="77777777" w:rsidR="008D0475" w:rsidRPr="008D0475" w:rsidRDefault="008D0475" w:rsidP="008D0475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8D0475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8D0475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2" w:history="1">
        <w:r w:rsidRPr="008D0475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8D0475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3" w:history="1">
        <w:r w:rsidRPr="008D0475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129EEAFE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5A9D0D6" w14:textId="77777777" w:rsidR="008D0475" w:rsidRPr="008D0475" w:rsidRDefault="008D0475" w:rsidP="008D04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D0475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0EBD9549" w14:textId="77777777" w:rsidR="008D0475" w:rsidRPr="008D0475" w:rsidRDefault="008D0475" w:rsidP="008D0475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7CEB864C" w14:textId="77777777" w:rsidR="00F27AEB" w:rsidRPr="008D0475" w:rsidRDefault="00F27AEB" w:rsidP="00DD0473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0046E4E6" w14:textId="77777777" w:rsidR="00F27AEB" w:rsidRPr="008D0475" w:rsidRDefault="00F27AEB" w:rsidP="00DD0473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27B78EC0" w14:textId="77777777" w:rsidR="00F27AEB" w:rsidRPr="008D0475" w:rsidRDefault="00F27AEB" w:rsidP="00DD0473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F27AEB" w:rsidRPr="008D0475" w:rsidSect="000A266D">
      <w:headerReference w:type="default" r:id="rId14"/>
      <w:footerReference w:type="default" r:id="rId15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9EF7" w14:textId="77777777" w:rsidR="00906769" w:rsidRDefault="00906769" w:rsidP="0054789B">
      <w:r>
        <w:separator/>
      </w:r>
    </w:p>
  </w:endnote>
  <w:endnote w:type="continuationSeparator" w:id="0">
    <w:p w14:paraId="4E4F96B3" w14:textId="77777777" w:rsidR="00906769" w:rsidRDefault="00906769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07A9" w14:textId="77777777" w:rsidR="00906769" w:rsidRDefault="00906769" w:rsidP="0054789B">
      <w:r>
        <w:separator/>
      </w:r>
    </w:p>
  </w:footnote>
  <w:footnote w:type="continuationSeparator" w:id="0">
    <w:p w14:paraId="5E71A25A" w14:textId="77777777" w:rsidR="00906769" w:rsidRDefault="00906769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048A4"/>
    <w:rsid w:val="000737AA"/>
    <w:rsid w:val="00094DB1"/>
    <w:rsid w:val="000A0D4E"/>
    <w:rsid w:val="000A266D"/>
    <w:rsid w:val="000C48D8"/>
    <w:rsid w:val="000E4D46"/>
    <w:rsid w:val="00127575"/>
    <w:rsid w:val="00152643"/>
    <w:rsid w:val="00165D54"/>
    <w:rsid w:val="001C2A0F"/>
    <w:rsid w:val="001D7EE6"/>
    <w:rsid w:val="00215E93"/>
    <w:rsid w:val="00236F15"/>
    <w:rsid w:val="0024421B"/>
    <w:rsid w:val="00270B2D"/>
    <w:rsid w:val="00312736"/>
    <w:rsid w:val="00313E74"/>
    <w:rsid w:val="003327CD"/>
    <w:rsid w:val="0037525E"/>
    <w:rsid w:val="003918B9"/>
    <w:rsid w:val="003D118D"/>
    <w:rsid w:val="003F03B2"/>
    <w:rsid w:val="003F2920"/>
    <w:rsid w:val="003F7B99"/>
    <w:rsid w:val="0040564C"/>
    <w:rsid w:val="00425C5D"/>
    <w:rsid w:val="00462B63"/>
    <w:rsid w:val="004D3C41"/>
    <w:rsid w:val="004D6104"/>
    <w:rsid w:val="004E1313"/>
    <w:rsid w:val="00501E35"/>
    <w:rsid w:val="005419FD"/>
    <w:rsid w:val="0054789B"/>
    <w:rsid w:val="00565DCB"/>
    <w:rsid w:val="0058531F"/>
    <w:rsid w:val="0059291B"/>
    <w:rsid w:val="005976BB"/>
    <w:rsid w:val="005B0347"/>
    <w:rsid w:val="005F6409"/>
    <w:rsid w:val="006063AD"/>
    <w:rsid w:val="006241A7"/>
    <w:rsid w:val="00646865"/>
    <w:rsid w:val="00672869"/>
    <w:rsid w:val="006C66A8"/>
    <w:rsid w:val="00773A5A"/>
    <w:rsid w:val="00846617"/>
    <w:rsid w:val="00890538"/>
    <w:rsid w:val="008943E7"/>
    <w:rsid w:val="008C684B"/>
    <w:rsid w:val="008D0475"/>
    <w:rsid w:val="008E6E34"/>
    <w:rsid w:val="008E7B88"/>
    <w:rsid w:val="008F585F"/>
    <w:rsid w:val="00906769"/>
    <w:rsid w:val="00911284"/>
    <w:rsid w:val="00920B96"/>
    <w:rsid w:val="009E54C0"/>
    <w:rsid w:val="009E7F4A"/>
    <w:rsid w:val="009F5C90"/>
    <w:rsid w:val="00A14C5D"/>
    <w:rsid w:val="00A34DDC"/>
    <w:rsid w:val="00A64E1A"/>
    <w:rsid w:val="00A65EFD"/>
    <w:rsid w:val="00AD6A10"/>
    <w:rsid w:val="00B959D9"/>
    <w:rsid w:val="00BB1665"/>
    <w:rsid w:val="00BC3BE8"/>
    <w:rsid w:val="00C366C1"/>
    <w:rsid w:val="00CC61CE"/>
    <w:rsid w:val="00CD3151"/>
    <w:rsid w:val="00CD43F3"/>
    <w:rsid w:val="00CF2B6E"/>
    <w:rsid w:val="00D06A33"/>
    <w:rsid w:val="00D36E8D"/>
    <w:rsid w:val="00D72716"/>
    <w:rsid w:val="00DD0473"/>
    <w:rsid w:val="00DD6CCB"/>
    <w:rsid w:val="00DF6911"/>
    <w:rsid w:val="00E35265"/>
    <w:rsid w:val="00E42595"/>
    <w:rsid w:val="00E54D51"/>
    <w:rsid w:val="00EB109F"/>
    <w:rsid w:val="00F22A8B"/>
    <w:rsid w:val="00F27AEB"/>
    <w:rsid w:val="00F8122B"/>
    <w:rsid w:val="00F85620"/>
    <w:rsid w:val="00FE0BEC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F585F"/>
    <w:rPr>
      <w:color w:val="0000FF"/>
      <w:u w:val="single"/>
    </w:rPr>
  </w:style>
  <w:style w:type="character" w:customStyle="1" w:styleId="headergroot1">
    <w:name w:val="headergroot1"/>
    <w:basedOn w:val="Standaardalinea-lettertype"/>
    <w:rsid w:val="008F585F"/>
    <w:rPr>
      <w:rFonts w:ascii="Verdana" w:hAnsi="Verdana" w:hint="default"/>
      <w:b/>
      <w:bCs/>
      <w:color w:val="526A8E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stekservice.kawneer.nl/nl-NL/ramen-en-deuren/g1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functionaliteit/oppervlaktebehandeli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kawneer.nl/duurzaamhe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producten/ramen-en-deuren/gt-70-s-ramen-en-deur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22</cp:revision>
  <dcterms:created xsi:type="dcterms:W3CDTF">2025-04-28T08:19:00Z</dcterms:created>
  <dcterms:modified xsi:type="dcterms:W3CDTF">2025-10-01T10:07:00Z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